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sz w:val="44"/>
          <w:szCs w:val="44"/>
        </w:rPr>
      </w:pPr>
      <w:r>
        <w:rPr>
          <w:rFonts w:hint="eastAsia" w:ascii="宋体" w:hAnsi="宋体" w:eastAsia="宋体" w:cs="宋体"/>
          <w:b w:val="0"/>
          <w:bCs/>
          <w:sz w:val="44"/>
          <w:szCs w:val="44"/>
        </w:rPr>
        <w:t>超星教师发展直播讲堂课程简介</w:t>
      </w:r>
    </w:p>
    <w:p>
      <w:pPr>
        <w:pageBreakBefore w:val="0"/>
        <w:kinsoku/>
        <w:wordWrap/>
        <w:overflowPunct/>
        <w:topLinePunct w:val="0"/>
        <w:autoSpaceDE/>
        <w:autoSpaceDN/>
        <w:bidi w:val="0"/>
        <w:adjustRightInd/>
        <w:snapToGrid/>
        <w:spacing w:line="560" w:lineRule="atLeast"/>
        <w:ind w:firstLine="2160" w:firstLineChars="900"/>
        <w:jc w:val="both"/>
        <w:textAlignment w:val="auto"/>
        <w:rPr>
          <w:rFonts w:hint="eastAsia" w:ascii="仿宋" w:hAnsi="仿宋" w:eastAsia="仿宋" w:cs="仿宋"/>
          <w:sz w:val="24"/>
        </w:rPr>
      </w:pPr>
      <w:r>
        <w:rPr>
          <w:rFonts w:hint="eastAsia" w:ascii="仿宋" w:hAnsi="仿宋" w:eastAsia="仿宋" w:cs="仿宋"/>
          <w:sz w:val="24"/>
        </w:rPr>
        <w:t>20</w:t>
      </w:r>
      <w:r>
        <w:rPr>
          <w:rFonts w:hint="eastAsia" w:ascii="仿宋" w:hAnsi="仿宋" w:eastAsia="仿宋" w:cs="仿宋"/>
          <w:sz w:val="24"/>
          <w:lang w:val="en-US" w:eastAsia="zh-CN"/>
        </w:rPr>
        <w:t>22</w:t>
      </w:r>
      <w:r>
        <w:rPr>
          <w:rFonts w:hint="eastAsia" w:ascii="仿宋" w:hAnsi="仿宋" w:eastAsia="仿宋" w:cs="仿宋"/>
          <w:sz w:val="24"/>
        </w:rPr>
        <w:t>年</w:t>
      </w:r>
      <w:r>
        <w:rPr>
          <w:rFonts w:hint="eastAsia" w:ascii="仿宋" w:hAnsi="仿宋" w:eastAsia="仿宋" w:cs="仿宋"/>
          <w:sz w:val="24"/>
          <w:lang w:val="en-US" w:eastAsia="zh-CN"/>
        </w:rPr>
        <w:t>秋季</w:t>
      </w:r>
      <w:r>
        <w:rPr>
          <w:rFonts w:hint="eastAsia" w:ascii="仿宋" w:hAnsi="仿宋" w:eastAsia="仿宋" w:cs="仿宋"/>
          <w:sz w:val="24"/>
        </w:rPr>
        <w:t>学期（第</w:t>
      </w:r>
      <w:r>
        <w:rPr>
          <w:rFonts w:hint="eastAsia" w:ascii="仿宋" w:hAnsi="仿宋" w:eastAsia="仿宋" w:cs="仿宋"/>
          <w:sz w:val="24"/>
          <w:lang w:val="en-US" w:eastAsia="zh-CN"/>
        </w:rPr>
        <w:t>十</w:t>
      </w:r>
      <w:r>
        <w:rPr>
          <w:rFonts w:hint="eastAsia" w:ascii="仿宋" w:hAnsi="仿宋" w:eastAsia="仿宋" w:cs="仿宋"/>
          <w:sz w:val="24"/>
        </w:rPr>
        <w:t>季）直播</w:t>
      </w:r>
      <w:r>
        <w:rPr>
          <w:rFonts w:hint="eastAsia" w:ascii="仿宋" w:hAnsi="仿宋" w:eastAsia="仿宋" w:cs="仿宋"/>
          <w:sz w:val="24"/>
          <w:lang w:val="en-US" w:eastAsia="zh-CN"/>
        </w:rPr>
        <w:t>讲堂</w:t>
      </w:r>
      <w:bookmarkStart w:id="0" w:name="_GoBack"/>
      <w:bookmarkEnd w:id="0"/>
    </w:p>
    <w:p>
      <w:pPr>
        <w:pageBreakBefore w:val="0"/>
        <w:widowControl/>
        <w:kinsoku/>
        <w:wordWrap/>
        <w:overflowPunct/>
        <w:topLinePunct w:val="0"/>
        <w:autoSpaceDE/>
        <w:autoSpaceDN/>
        <w:bidi w:val="0"/>
        <w:adjustRightInd/>
        <w:snapToGrid/>
        <w:spacing w:line="560" w:lineRule="atLeas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（一）课程方案</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教学是教师通过对教学实践反思与探究，构建学科教学知识体系，促进自身专业发展的学术性活动。为助力教师教学发展，第十季直播讲堂设理念引领、创新方法与实践、教学方法与策略、教学学术与研究四个模块，多维度多层面为教师专业成长赋能，助力高校进一步提升教学质量。</w:t>
      </w:r>
    </w:p>
    <w:tbl>
      <w:tblPr>
        <w:tblStyle w:val="10"/>
        <w:tblW w:w="0" w:type="auto"/>
        <w:jc w:val="center"/>
        <w:tblLayout w:type="autofit"/>
        <w:tblCellMar>
          <w:top w:w="15" w:type="dxa"/>
          <w:left w:w="15" w:type="dxa"/>
          <w:bottom w:w="15" w:type="dxa"/>
          <w:right w:w="15" w:type="dxa"/>
        </w:tblCellMar>
      </w:tblPr>
      <w:tblGrid>
        <w:gridCol w:w="1269"/>
        <w:gridCol w:w="1275"/>
        <w:gridCol w:w="4435"/>
        <w:gridCol w:w="2059"/>
      </w:tblGrid>
      <w:tr>
        <w:tblPrEx>
          <w:tblCellMar>
            <w:top w:w="15" w:type="dxa"/>
            <w:left w:w="15" w:type="dxa"/>
            <w:bottom w:w="15" w:type="dxa"/>
            <w:right w:w="15" w:type="dxa"/>
          </w:tblCellMar>
        </w:tblPrEx>
        <w:trPr>
          <w:trHeight w:val="1040" w:hRule="atLeast"/>
          <w:jc w:val="center"/>
        </w:trPr>
        <w:tc>
          <w:tcPr>
            <w:tcW w:w="9038" w:type="dxa"/>
            <w:gridSpan w:val="4"/>
            <w:tcBorders>
              <w:top w:val="single" w:color="000000" w:sz="6" w:space="0"/>
              <w:left w:val="single" w:color="000000" w:sz="6" w:space="0"/>
              <w:bottom w:val="single" w:color="000000" w:sz="6" w:space="0"/>
              <w:right w:val="single" w:color="000000" w:sz="6" w:space="0"/>
            </w:tcBorders>
            <w:shd w:val="clear" w:color="auto" w:fill="538DD5"/>
            <w:tcMar>
              <w:top w:w="0" w:type="dxa"/>
              <w:left w:w="108" w:type="dxa"/>
              <w:bottom w:w="0" w:type="dxa"/>
              <w:right w:w="108" w:type="dxa"/>
            </w:tcMar>
            <w:vAlign w:val="center"/>
          </w:tcPr>
          <w:p>
            <w:pPr>
              <w:widowControl/>
              <w:jc w:val="center"/>
              <w:rPr>
                <w:rFonts w:hint="eastAsia" w:ascii="微软雅黑" w:hAnsi="微软雅黑" w:eastAsia="微软雅黑" w:cs="微软雅黑"/>
                <w:b/>
                <w:bCs w:val="0"/>
                <w:color w:val="FFFFFF" w:themeColor="background1"/>
                <w:kern w:val="0"/>
                <w:sz w:val="26"/>
                <w:szCs w:val="26"/>
                <w14:textFill>
                  <w14:solidFill>
                    <w14:schemeClr w14:val="bg1"/>
                  </w14:solidFill>
                </w14:textFill>
              </w:rPr>
            </w:pPr>
            <w:r>
              <w:rPr>
                <w:rFonts w:hint="eastAsia" w:ascii="微软雅黑" w:hAnsi="微软雅黑" w:eastAsia="微软雅黑" w:cs="微软雅黑"/>
                <w:b/>
                <w:bCs w:val="0"/>
                <w:color w:val="FFFFFF" w:themeColor="background1"/>
                <w:kern w:val="0"/>
                <w:sz w:val="26"/>
                <w:szCs w:val="26"/>
                <w14:textFill>
                  <w14:solidFill>
                    <w14:schemeClr w14:val="bg1"/>
                  </w14:solidFill>
                </w14:textFill>
              </w:rPr>
              <w:t>2022年秋</w:t>
            </w:r>
            <w:r>
              <w:rPr>
                <w:rFonts w:hint="eastAsia" w:ascii="微软雅黑" w:hAnsi="微软雅黑" w:eastAsia="微软雅黑" w:cs="微软雅黑"/>
                <w:b/>
                <w:bCs w:val="0"/>
                <w:color w:val="FFFFFF" w:themeColor="background1"/>
                <w:kern w:val="0"/>
                <w:sz w:val="26"/>
                <w:szCs w:val="26"/>
                <w:lang w:val="en-US" w:eastAsia="zh-CN"/>
                <w14:textFill>
                  <w14:solidFill>
                    <w14:schemeClr w14:val="bg1"/>
                  </w14:solidFill>
                </w14:textFill>
              </w:rPr>
              <w:t>·</w:t>
            </w:r>
            <w:r>
              <w:rPr>
                <w:rFonts w:hint="eastAsia" w:ascii="微软雅黑" w:hAnsi="微软雅黑" w:eastAsia="微软雅黑" w:cs="微软雅黑"/>
                <w:b/>
                <w:bCs w:val="0"/>
                <w:color w:val="FFFFFF" w:themeColor="background1"/>
                <w:kern w:val="0"/>
                <w:sz w:val="26"/>
                <w:szCs w:val="26"/>
                <w14:textFill>
                  <w14:solidFill>
                    <w14:schemeClr w14:val="bg1"/>
                  </w14:solidFill>
                </w14:textFill>
              </w:rPr>
              <w:t>超星教师发展第十季直播讲堂</w:t>
            </w:r>
          </w:p>
          <w:p>
            <w:pPr>
              <w:widowControl/>
              <w:jc w:val="center"/>
              <w:rPr>
                <w:rFonts w:hint="eastAsia" w:ascii="微软雅黑" w:hAnsi="微软雅黑" w:eastAsia="微软雅黑" w:cs="微软雅黑"/>
                <w:kern w:val="0"/>
                <w:sz w:val="24"/>
                <w:szCs w:val="24"/>
              </w:rPr>
            </w:pPr>
            <w:r>
              <w:rPr>
                <w:rFonts w:hint="eastAsia" w:ascii="微软雅黑" w:hAnsi="微软雅黑" w:eastAsia="微软雅黑" w:cs="微软雅黑"/>
                <w:b/>
                <w:bCs w:val="0"/>
                <w:color w:val="FFFFFF" w:themeColor="background1"/>
                <w:kern w:val="0"/>
                <w:sz w:val="26"/>
                <w:szCs w:val="26"/>
                <w14:textFill>
                  <w14:solidFill>
                    <w14:schemeClr w14:val="bg1"/>
                  </w14:solidFill>
                </w14:textFill>
              </w:rPr>
              <w:t xml:space="preserve">赋能教师成长 </w:t>
            </w:r>
            <w:r>
              <w:rPr>
                <w:rFonts w:hint="eastAsia" w:ascii="微软雅黑" w:hAnsi="微软雅黑" w:eastAsia="微软雅黑" w:cs="微软雅黑"/>
                <w:b/>
                <w:bCs w:val="0"/>
                <w:color w:val="FFFFFF" w:themeColor="background1"/>
                <w:kern w:val="0"/>
                <w:sz w:val="26"/>
                <w:szCs w:val="26"/>
                <w:lang w:val="en-US" w:eastAsia="zh-CN"/>
                <w14:textFill>
                  <w14:solidFill>
                    <w14:schemeClr w14:val="bg1"/>
                  </w14:solidFill>
                </w14:textFill>
              </w:rPr>
              <w:t xml:space="preserve"> </w:t>
            </w:r>
            <w:r>
              <w:rPr>
                <w:rFonts w:hint="eastAsia" w:ascii="微软雅黑" w:hAnsi="微软雅黑" w:eastAsia="微软雅黑" w:cs="微软雅黑"/>
                <w:b/>
                <w:bCs w:val="0"/>
                <w:color w:val="FFFFFF" w:themeColor="background1"/>
                <w:kern w:val="0"/>
                <w:sz w:val="26"/>
                <w:szCs w:val="26"/>
                <w14:textFill>
                  <w14:solidFill>
                    <w14:schemeClr w14:val="bg1"/>
                  </w14:solidFill>
                </w14:textFill>
              </w:rPr>
              <w:t>提升教学质量</w:t>
            </w:r>
          </w:p>
        </w:tc>
      </w:tr>
      <w:tr>
        <w:tblPrEx>
          <w:tblCellMar>
            <w:top w:w="15" w:type="dxa"/>
            <w:left w:w="15" w:type="dxa"/>
            <w:bottom w:w="15" w:type="dxa"/>
            <w:right w:w="15" w:type="dxa"/>
          </w:tblCellMar>
        </w:tblPrEx>
        <w:trPr>
          <w:trHeight w:val="540" w:hRule="atLeast"/>
          <w:jc w:val="center"/>
        </w:trPr>
        <w:tc>
          <w:tcPr>
            <w:tcW w:w="1269" w:type="dxa"/>
            <w:tcBorders>
              <w:top w:val="single" w:color="CBCDD1" w:sz="6" w:space="0"/>
              <w:left w:val="single" w:color="000000" w:sz="6" w:space="0"/>
              <w:bottom w:val="single" w:color="000000" w:sz="6" w:space="0"/>
              <w:right w:val="single" w:color="000000" w:sz="6" w:space="0"/>
            </w:tcBorders>
            <w:shd w:val="clear" w:color="auto" w:fill="8DB4E2"/>
            <w:tcMar>
              <w:top w:w="0" w:type="dxa"/>
              <w:left w:w="108" w:type="dxa"/>
              <w:bottom w:w="0" w:type="dxa"/>
              <w:right w:w="108" w:type="dxa"/>
            </w:tcMar>
            <w:vAlign w:val="center"/>
          </w:tcPr>
          <w:p>
            <w:pPr>
              <w:widowControl/>
              <w:jc w:val="center"/>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2"/>
              </w:rPr>
              <w:t>模块</w:t>
            </w:r>
          </w:p>
        </w:tc>
        <w:tc>
          <w:tcPr>
            <w:tcW w:w="1275" w:type="dxa"/>
            <w:tcBorders>
              <w:top w:val="single" w:color="000000" w:sz="6" w:space="0"/>
              <w:left w:val="single" w:color="000000" w:sz="6" w:space="0"/>
              <w:bottom w:val="single" w:color="000000" w:sz="6" w:space="0"/>
              <w:right w:val="single" w:color="000000" w:sz="6" w:space="0"/>
            </w:tcBorders>
            <w:shd w:val="clear" w:color="auto" w:fill="8DB4E2"/>
            <w:tcMar>
              <w:top w:w="0" w:type="dxa"/>
              <w:left w:w="108" w:type="dxa"/>
              <w:bottom w:w="0" w:type="dxa"/>
              <w:right w:w="108" w:type="dxa"/>
            </w:tcMar>
            <w:vAlign w:val="center"/>
          </w:tcPr>
          <w:p>
            <w:pPr>
              <w:widowControl/>
              <w:jc w:val="center"/>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2"/>
              </w:rPr>
              <w:t>时间</w:t>
            </w:r>
          </w:p>
        </w:tc>
        <w:tc>
          <w:tcPr>
            <w:tcW w:w="4435" w:type="dxa"/>
            <w:tcBorders>
              <w:top w:val="single" w:color="000000" w:sz="6" w:space="0"/>
              <w:left w:val="single" w:color="000000" w:sz="6" w:space="0"/>
              <w:bottom w:val="single" w:color="000000" w:sz="6" w:space="0"/>
              <w:right w:val="single" w:color="000000" w:sz="6" w:space="0"/>
            </w:tcBorders>
            <w:shd w:val="clear" w:color="auto" w:fill="8DB4E2"/>
            <w:tcMar>
              <w:top w:w="0" w:type="dxa"/>
              <w:left w:w="108" w:type="dxa"/>
              <w:bottom w:w="0" w:type="dxa"/>
              <w:right w:w="108" w:type="dxa"/>
            </w:tcMar>
            <w:vAlign w:val="center"/>
          </w:tcPr>
          <w:p>
            <w:pPr>
              <w:widowControl/>
              <w:jc w:val="center"/>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2"/>
              </w:rPr>
              <w:t>直播主题</w:t>
            </w:r>
          </w:p>
        </w:tc>
        <w:tc>
          <w:tcPr>
            <w:tcW w:w="2059" w:type="dxa"/>
            <w:tcBorders>
              <w:top w:val="single" w:color="000000" w:sz="6" w:space="0"/>
              <w:left w:val="single" w:color="000000" w:sz="6" w:space="0"/>
              <w:bottom w:val="single" w:color="000000" w:sz="6" w:space="0"/>
              <w:right w:val="single" w:color="000000" w:sz="6" w:space="0"/>
            </w:tcBorders>
            <w:shd w:val="clear" w:color="auto" w:fill="8DB4E2"/>
            <w:tcMar>
              <w:top w:w="0" w:type="dxa"/>
              <w:left w:w="108" w:type="dxa"/>
              <w:bottom w:w="0" w:type="dxa"/>
              <w:right w:w="108" w:type="dxa"/>
            </w:tcMar>
            <w:vAlign w:val="center"/>
          </w:tcPr>
          <w:p>
            <w:pPr>
              <w:widowControl/>
              <w:jc w:val="center"/>
              <w:rPr>
                <w:rFonts w:hint="eastAsia" w:ascii="微软雅黑" w:hAnsi="微软雅黑" w:eastAsia="微软雅黑" w:cs="微软雅黑"/>
                <w:b/>
                <w:bCs w:val="0"/>
                <w:kern w:val="0"/>
                <w:sz w:val="24"/>
                <w:szCs w:val="24"/>
              </w:rPr>
            </w:pPr>
            <w:r>
              <w:rPr>
                <w:rFonts w:hint="eastAsia" w:ascii="微软雅黑" w:hAnsi="微软雅黑" w:eastAsia="微软雅黑" w:cs="微软雅黑"/>
                <w:b/>
                <w:bCs w:val="0"/>
                <w:kern w:val="0"/>
                <w:sz w:val="22"/>
              </w:rPr>
              <w:t>专家</w:t>
            </w:r>
          </w:p>
        </w:tc>
      </w:tr>
      <w:tr>
        <w:tblPrEx>
          <w:tblCellMar>
            <w:top w:w="15" w:type="dxa"/>
            <w:left w:w="15" w:type="dxa"/>
            <w:bottom w:w="15" w:type="dxa"/>
            <w:right w:w="15" w:type="dxa"/>
          </w:tblCellMar>
        </w:tblPrEx>
        <w:trPr>
          <w:trHeight w:val="751" w:hRule="atLeast"/>
          <w:jc w:val="center"/>
        </w:trPr>
        <w:tc>
          <w:tcPr>
            <w:tcW w:w="126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仿宋" w:hAnsi="仿宋" w:eastAsia="仿宋" w:cs="仿宋"/>
                <w:kern w:val="0"/>
                <w:sz w:val="28"/>
                <w:szCs w:val="28"/>
              </w:rPr>
              <w:t>高屋建瓴-理念引领</w:t>
            </w: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9月22日</w:t>
            </w:r>
          </w:p>
        </w:tc>
        <w:tc>
          <w:tcPr>
            <w:tcW w:w="443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打破边界——对未来教学的思考与探索</w:t>
            </w:r>
          </w:p>
        </w:tc>
        <w:tc>
          <w:tcPr>
            <w:tcW w:w="2059"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张红伟</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四川大学</w:t>
            </w:r>
          </w:p>
        </w:tc>
      </w:tr>
      <w:tr>
        <w:tblPrEx>
          <w:tblCellMar>
            <w:top w:w="15" w:type="dxa"/>
            <w:left w:w="15" w:type="dxa"/>
            <w:bottom w:w="15" w:type="dxa"/>
            <w:right w:w="15" w:type="dxa"/>
          </w:tblCellMar>
        </w:tblPrEx>
        <w:trPr>
          <w:trHeight w:val="781"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9日29日</w:t>
            </w:r>
          </w:p>
        </w:tc>
        <w:tc>
          <w:tcPr>
            <w:tcW w:w="443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以赛促教——赋能教师课堂教学创新与专业化发展</w:t>
            </w:r>
          </w:p>
        </w:tc>
        <w:tc>
          <w:tcPr>
            <w:tcW w:w="2059"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辛明军</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上海大学</w:t>
            </w:r>
          </w:p>
        </w:tc>
      </w:tr>
      <w:tr>
        <w:tblPrEx>
          <w:tblCellMar>
            <w:top w:w="15" w:type="dxa"/>
            <w:left w:w="15" w:type="dxa"/>
            <w:bottom w:w="15" w:type="dxa"/>
            <w:right w:w="15" w:type="dxa"/>
          </w:tblCellMar>
        </w:tblPrEx>
        <w:trPr>
          <w:trHeight w:val="702" w:hRule="atLeast"/>
          <w:jc w:val="center"/>
        </w:trPr>
        <w:tc>
          <w:tcPr>
            <w:tcW w:w="126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仿宋" w:hAnsi="仿宋" w:eastAsia="仿宋" w:cs="仿宋"/>
                <w:kern w:val="0"/>
                <w:sz w:val="28"/>
                <w:szCs w:val="28"/>
              </w:rPr>
              <w:t>能力提升-创新方法与实践</w:t>
            </w: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10月13日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专业基础课程教学改革创新与实践</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——以《材料科学基础》课程为例</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林营</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陕西科技大学</w:t>
            </w:r>
          </w:p>
        </w:tc>
      </w:tr>
      <w:tr>
        <w:tblPrEx>
          <w:tblCellMar>
            <w:top w:w="15" w:type="dxa"/>
            <w:left w:w="15" w:type="dxa"/>
            <w:bottom w:w="15" w:type="dxa"/>
            <w:right w:w="15" w:type="dxa"/>
          </w:tblCellMar>
        </w:tblPrEx>
        <w:trPr>
          <w:trHeight w:val="796"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10月20日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基于学生思维能力提升的教学创新</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宁静波</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山东师范大学</w:t>
            </w:r>
          </w:p>
        </w:tc>
      </w:tr>
      <w:tr>
        <w:tblPrEx>
          <w:tblCellMar>
            <w:top w:w="15" w:type="dxa"/>
            <w:left w:w="15" w:type="dxa"/>
            <w:bottom w:w="15" w:type="dxa"/>
            <w:right w:w="15" w:type="dxa"/>
          </w:tblCellMar>
        </w:tblPrEx>
        <w:trPr>
          <w:trHeight w:val="796"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10月27日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教学创新的道、法、术、器</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——STARA教学设计</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费跃农</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深圳大学</w:t>
            </w:r>
          </w:p>
        </w:tc>
      </w:tr>
      <w:tr>
        <w:tblPrEx>
          <w:tblCellMar>
            <w:top w:w="15" w:type="dxa"/>
            <w:left w:w="15" w:type="dxa"/>
            <w:bottom w:w="15" w:type="dxa"/>
            <w:right w:w="15" w:type="dxa"/>
          </w:tblCellMar>
        </w:tblPrEx>
        <w:trPr>
          <w:trHeight w:val="702"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11月3日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强科学之基 构思维之桥 塑价值之魂——大学物理四融四化创新实践</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李晋斌</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南京航空航天大学</w:t>
            </w:r>
          </w:p>
        </w:tc>
      </w:tr>
      <w:tr>
        <w:tblPrEx>
          <w:tblCellMar>
            <w:top w:w="15" w:type="dxa"/>
            <w:left w:w="15" w:type="dxa"/>
            <w:bottom w:w="15" w:type="dxa"/>
            <w:right w:w="15" w:type="dxa"/>
          </w:tblCellMar>
        </w:tblPrEx>
        <w:trPr>
          <w:trHeight w:val="702" w:hRule="atLeast"/>
          <w:jc w:val="center"/>
        </w:trPr>
        <w:tc>
          <w:tcPr>
            <w:tcW w:w="126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仿宋" w:hAnsi="仿宋" w:eastAsia="仿宋" w:cs="仿宋"/>
                <w:kern w:val="0"/>
                <w:sz w:val="28"/>
                <w:szCs w:val="28"/>
              </w:rPr>
              <w:t>巧用技巧-教学方法与策略</w:t>
            </w: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11月10日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学习者视角下的有效教学设计与实施</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李霞</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南开大学</w:t>
            </w:r>
          </w:p>
        </w:tc>
      </w:tr>
      <w:tr>
        <w:tblPrEx>
          <w:tblCellMar>
            <w:top w:w="15" w:type="dxa"/>
            <w:left w:w="15" w:type="dxa"/>
            <w:bottom w:w="15" w:type="dxa"/>
            <w:right w:w="15" w:type="dxa"/>
          </w:tblCellMar>
        </w:tblPrEx>
        <w:trPr>
          <w:trHeight w:val="751"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11月17日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目标导向的“知情合一”教学设计模式与案例</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曹殿波</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延安大学</w:t>
            </w:r>
          </w:p>
        </w:tc>
      </w:tr>
      <w:tr>
        <w:tblPrEx>
          <w:tblCellMar>
            <w:top w:w="15" w:type="dxa"/>
            <w:left w:w="15" w:type="dxa"/>
            <w:bottom w:w="15" w:type="dxa"/>
            <w:right w:w="15" w:type="dxa"/>
          </w:tblCellMar>
        </w:tblPrEx>
        <w:trPr>
          <w:trHeight w:val="702"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11月24日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ARCS动机模型提升课堂活力</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陆芳</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华南理工大学</w:t>
            </w:r>
          </w:p>
        </w:tc>
      </w:tr>
      <w:tr>
        <w:tblPrEx>
          <w:tblCellMar>
            <w:top w:w="15" w:type="dxa"/>
            <w:left w:w="15" w:type="dxa"/>
            <w:bottom w:w="15" w:type="dxa"/>
            <w:right w:w="15" w:type="dxa"/>
          </w:tblCellMar>
        </w:tblPrEx>
        <w:trPr>
          <w:trHeight w:val="702"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12月1日</w:t>
            </w:r>
          </w:p>
        </w:tc>
        <w:tc>
          <w:tcPr>
            <w:tcW w:w="44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技术赋能高校课堂教学</w:t>
            </w:r>
          </w:p>
        </w:tc>
        <w:tc>
          <w:tcPr>
            <w:tcW w:w="2059"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黄立新</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浙江师范大学</w:t>
            </w:r>
          </w:p>
        </w:tc>
      </w:tr>
      <w:tr>
        <w:tblPrEx>
          <w:tblCellMar>
            <w:top w:w="15" w:type="dxa"/>
            <w:left w:w="15" w:type="dxa"/>
            <w:bottom w:w="15" w:type="dxa"/>
            <w:right w:w="15" w:type="dxa"/>
          </w:tblCellMar>
        </w:tblPrEx>
        <w:trPr>
          <w:trHeight w:val="781" w:hRule="atLeast"/>
          <w:jc w:val="center"/>
        </w:trPr>
        <w:tc>
          <w:tcPr>
            <w:tcW w:w="126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仿宋" w:hAnsi="仿宋" w:eastAsia="仿宋" w:cs="仿宋"/>
                <w:kern w:val="0"/>
                <w:sz w:val="28"/>
                <w:szCs w:val="28"/>
              </w:rPr>
              <w:t>学术科研-教学学术与科研</w:t>
            </w: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12月8日</w:t>
            </w:r>
          </w:p>
        </w:tc>
        <w:tc>
          <w:tcPr>
            <w:tcW w:w="443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大学教学学术与教师专业发展</w:t>
            </w:r>
          </w:p>
        </w:tc>
        <w:tc>
          <w:tcPr>
            <w:tcW w:w="2059"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郭建鹏</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厦门大学</w:t>
            </w:r>
          </w:p>
        </w:tc>
      </w:tr>
      <w:tr>
        <w:tblPrEx>
          <w:tblCellMar>
            <w:top w:w="15" w:type="dxa"/>
            <w:left w:w="15" w:type="dxa"/>
            <w:bottom w:w="15" w:type="dxa"/>
            <w:right w:w="15" w:type="dxa"/>
          </w:tblCellMar>
        </w:tblPrEx>
        <w:trPr>
          <w:trHeight w:val="702"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12月15日</w:t>
            </w:r>
          </w:p>
        </w:tc>
        <w:tc>
          <w:tcPr>
            <w:tcW w:w="443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从问题到课题——教学研究项目选题与实施</w:t>
            </w:r>
          </w:p>
        </w:tc>
        <w:tc>
          <w:tcPr>
            <w:tcW w:w="2059"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徐林</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东北大学</w:t>
            </w:r>
          </w:p>
        </w:tc>
      </w:tr>
      <w:tr>
        <w:tblPrEx>
          <w:tblCellMar>
            <w:top w:w="15" w:type="dxa"/>
            <w:left w:w="15" w:type="dxa"/>
            <w:bottom w:w="15" w:type="dxa"/>
            <w:right w:w="15" w:type="dxa"/>
          </w:tblCellMar>
        </w:tblPrEx>
        <w:trPr>
          <w:trHeight w:val="702" w:hRule="atLeast"/>
          <w:jc w:val="center"/>
        </w:trPr>
        <w:tc>
          <w:tcPr>
            <w:tcW w:w="12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微软雅黑" w:hAnsi="微软雅黑" w:eastAsia="微软雅黑" w:cs="微软雅黑"/>
                <w:kern w:val="0"/>
                <w:sz w:val="24"/>
                <w:szCs w:val="24"/>
              </w:rPr>
            </w:pPr>
          </w:p>
        </w:tc>
        <w:tc>
          <w:tcPr>
            <w:tcW w:w="127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2"/>
              </w:rPr>
              <w:t>12月22日</w:t>
            </w:r>
          </w:p>
        </w:tc>
        <w:tc>
          <w:tcPr>
            <w:tcW w:w="4435"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教学研究与教师职业生涯规划</w:t>
            </w:r>
          </w:p>
        </w:tc>
        <w:tc>
          <w:tcPr>
            <w:tcW w:w="2059" w:type="dxa"/>
            <w:tcBorders>
              <w:top w:val="single" w:color="CBCDD1"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田洪鋆</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吉林大学</w:t>
            </w:r>
          </w:p>
        </w:tc>
      </w:tr>
    </w:tbl>
    <w:p>
      <w:pPr>
        <w:pageBreakBefore w:val="0"/>
        <w:kinsoku/>
        <w:wordWrap/>
        <w:overflowPunct/>
        <w:topLinePunct w:val="0"/>
        <w:autoSpaceDE/>
        <w:autoSpaceDN/>
        <w:bidi w:val="0"/>
        <w:adjustRightInd/>
        <w:snapToGrid/>
        <w:spacing w:line="560" w:lineRule="atLeast"/>
        <w:textAlignment w:val="auto"/>
        <w:rPr>
          <w:rFonts w:hint="eastAsia"/>
        </w:rPr>
      </w:pPr>
    </w:p>
    <w:p>
      <w:pPr>
        <w:pageBreakBefore w:val="0"/>
        <w:widowControl/>
        <w:kinsoku/>
        <w:wordWrap/>
        <w:overflowPunct/>
        <w:topLinePunct w:val="0"/>
        <w:autoSpaceDE/>
        <w:autoSpaceDN/>
        <w:bidi w:val="0"/>
        <w:adjustRightInd/>
        <w:snapToGrid/>
        <w:spacing w:line="560" w:lineRule="atLeast"/>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专家简介</w:t>
      </w:r>
    </w:p>
    <w:p>
      <w:pPr>
        <w:pageBreakBefore w:val="0"/>
        <w:widowControl/>
        <w:numPr>
          <w:ilvl w:val="0"/>
          <w:numId w:val="0"/>
        </w:numPr>
        <w:kinsoku/>
        <w:wordWrap/>
        <w:overflowPunct/>
        <w:topLinePunct w:val="0"/>
        <w:autoSpaceDE/>
        <w:autoSpaceDN/>
        <w:bidi w:val="0"/>
        <w:adjustRightInd/>
        <w:snapToGrid/>
        <w:spacing w:line="560" w:lineRule="atLeast"/>
        <w:textAlignment w:val="auto"/>
        <w:rPr>
          <w:rFonts w:hint="eastAsia" w:ascii="宋体" w:hAnsi="宋体" w:eastAsia="宋体"/>
          <w:b/>
          <w:sz w:val="28"/>
          <w:lang w:eastAsia="zh-CN"/>
        </w:rPr>
      </w:pPr>
      <w:r>
        <w:rPr>
          <w:rFonts w:hint="eastAsia" w:ascii="微软雅黑" w:hAnsi="微软雅黑" w:eastAsia="微软雅黑" w:cs="微软雅黑"/>
          <w:color w:val="000000" w:themeColor="text1"/>
          <w:sz w:val="22"/>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lang w:eastAsia="zh-CN"/>
          <w14:textFill>
            <w14:solidFill>
              <w14:schemeClr w14:val="tx1"/>
            </w14:solidFill>
          </w14:textFill>
        </w:rPr>
        <w:drawing>
          <wp:inline distT="0" distB="0" distL="114300" distR="114300">
            <wp:extent cx="5037455" cy="2834005"/>
            <wp:effectExtent l="0" t="0" r="6985" b="635"/>
            <wp:docPr id="1" name="图片 1" descr="专家海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专家海报"/>
                    <pic:cNvPicPr>
                      <a:picLocks noChangeAspect="1"/>
                    </pic:cNvPicPr>
                  </pic:nvPicPr>
                  <pic:blipFill>
                    <a:blip r:embed="rId5"/>
                    <a:stretch>
                      <a:fillRect/>
                    </a:stretch>
                  </pic:blipFill>
                  <pic:spPr>
                    <a:xfrm>
                      <a:off x="0" y="0"/>
                      <a:ext cx="5037455" cy="2834005"/>
                    </a:xfrm>
                    <a:prstGeom prst="rect">
                      <a:avLst/>
                    </a:prstGeom>
                  </pic:spPr>
                </pic:pic>
              </a:graphicData>
            </a:graphic>
          </wp:inline>
        </w:drawing>
      </w: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张红伟</w:t>
      </w:r>
      <w:r>
        <w:rPr>
          <w:rFonts w:hint="eastAsia" w:ascii="仿宋" w:hAnsi="仿宋" w:eastAsia="仿宋" w:cs="仿宋"/>
          <w:color w:val="000000"/>
          <w:sz w:val="32"/>
          <w:szCs w:val="32"/>
        </w:rPr>
        <w:t>，四川大学经济学院教授、博士生导师，国家“万人计划”教学名师，国务院政府特殊津贴专家，四川省学术和技术带头人，四川省教书育人名师，“天府万人计划”天府名师，宝钢教育奖优秀教师特等奖获得者，任教育部经济学教学指导委员会委员，教育部高等学校教学信息化与教学方法创新工作指导委员会委员，中国宏观经济管理教育学会副会长，四川宏观经济学会副会长。</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辛明军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上海大学教务部副部长、教学评估中心主任、教学发展中心主任，计算机学院教授</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IEEE会员，中国计算机学会（CCF）高级会员暨CCF服务计算专委会委员，中国自动化学会高级会员暨网络服务专委会委员。主要从事网络服务计算、决策支持系统和信息系统安全等方向的研究。2001年博士毕业后在国际信息类期刊、国际会议以及国内核心期刊上发表学术论文五十余篇，主持或参加过多项国家自然科学基金、教育部委托项目、上海市重点教改项目等的研究。教学改革与研究方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2014年2月，获上海市级教学成果特等奖一项（本人排名第三位），2014年9月获国家级教学成果二等奖（本人排名第三位）。</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林营</w:t>
      </w:r>
      <w:r>
        <w:rPr>
          <w:rFonts w:hint="eastAsia" w:ascii="仿宋" w:hAnsi="仿宋" w:eastAsia="仿宋" w:cs="仿宋"/>
          <w:color w:val="000000"/>
          <w:sz w:val="32"/>
          <w:szCs w:val="32"/>
        </w:rPr>
        <w:t>，教授，博士研究生导师。陕西省线上线下混合式一流课程、陕西省高校创新创业教育课程负责人，英国皇家化学学会2021 Top 1%高被引中国作者。2020年获陕西省第三届课堂教学创新大赛一等奖。以项目负责人先后承担国家自然科学基金、陕西省高等教育教学改革研究重点攻关项目等教学科研项目10余项。近年来以第一作者或通讯作者在Journal of Materials Chemistry Aundefined Chemical Engineering Journal等国内外学术期刊上发表论文100余篇，其中ESI热点论文2篇、ESI高被引论文7篇、已授权国家发明专利40余项，专利技术转让4项。获陕西省高等教育教学成果一等奖、上海市科学技术一等奖、中国轻工联合总会科学技术发明一等奖、中国轻工联合总会科学技术发明二等奖、陕西省科学技术二等奖和咸阳市科学技术一等奖各1项。第二届全国高校教师教学创新大赛国赛一等奖。</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宁静波</w:t>
      </w:r>
      <w:r>
        <w:rPr>
          <w:rFonts w:hint="eastAsia" w:ascii="仿宋" w:hAnsi="仿宋" w:eastAsia="仿宋" w:cs="仿宋"/>
          <w:color w:val="000000"/>
          <w:sz w:val="32"/>
          <w:szCs w:val="32"/>
        </w:rPr>
        <w:t>，法学硕士，经济学博士；美国加州大学圣巴拉拉分校经济系访问学者；现为山东师范大学经济学院教授，博士生导师，副院长。</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研究方向为法经济学、制度经济学。目前已出版专著、合著、译著多部；在核心专业期刊上发表论文二十余篇，其中多篇被转摘、转载；现主持国家社科基金一般项目1项，省部级项目2项。</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任教以来，主讲本科、研究生的《经济法》、《国际商法（双语）》、《制度经济学》等课程；现主持研究生、本科生教改项目6项，指导本科生创新创业大赛项目3项；曾获得“第二届山东师范大学十大教学能手”、“山东师范大学优秀本科生导师”、“山东师范大学优秀教学奖”等奖励。</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费跃农</w:t>
      </w:r>
      <w:r>
        <w:rPr>
          <w:rFonts w:hint="eastAsia" w:ascii="仿宋" w:hAnsi="仿宋" w:eastAsia="仿宋" w:cs="仿宋"/>
          <w:color w:val="000000"/>
          <w:sz w:val="32"/>
          <w:szCs w:val="32"/>
        </w:rPr>
        <w:t>，南粤优秀教师、深圳市优秀教师、深圳大学校长教学奖获得者，获科研成果奖2项，获得国家教学成果奖和广东省教学成果奖共4项。主讲的《模拟电子技术》课程内容编排和教学设计体现了以学为中心的课堂教学理念，被认定为国家级混合式教学一流本科课程。第二届全国高校教学创新大赛国赛一等奖。</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李晋斌</w:t>
      </w:r>
      <w:r>
        <w:rPr>
          <w:rFonts w:hint="eastAsia" w:ascii="仿宋" w:hAnsi="仿宋" w:eastAsia="仿宋" w:cs="仿宋"/>
          <w:color w:val="000000"/>
          <w:sz w:val="32"/>
          <w:szCs w:val="32"/>
        </w:rPr>
        <w:t>，南京航空航天大学物理学院教授、博导。教育部文科物理委员会秘书长，江苏省教育工作先进个人，第二届全国高校教师教学创新大赛正高组二等奖，江苏省微课竞赛一等奖获得者，编著江苏省重点教材《高等量子力学》。</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李霞</w:t>
      </w:r>
      <w:r>
        <w:rPr>
          <w:rFonts w:hint="eastAsia" w:ascii="仿宋" w:hAnsi="仿宋" w:eastAsia="仿宋" w:cs="仿宋"/>
          <w:color w:val="000000"/>
          <w:sz w:val="32"/>
          <w:szCs w:val="32"/>
        </w:rPr>
        <w:t>，南开大学外国语学院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教授</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博士</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南开大学外国语学院副院长，公共英语教学部主任。南开大学教学指导委员会委员，国家级线上一流课程主讲人，天津市线上一流课程主讲人，南开大学教学名师。曾获第七届、第八届高等教育天津市级教学成果奖一等奖。</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研究方向：课程设计与实施、教学能力评估、跨文化交际。</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曹殿波</w:t>
      </w:r>
      <w:r>
        <w:rPr>
          <w:rFonts w:hint="eastAsia" w:ascii="仿宋" w:hAnsi="仿宋" w:eastAsia="仿宋" w:cs="仿宋"/>
          <w:color w:val="000000"/>
          <w:sz w:val="32"/>
          <w:szCs w:val="32"/>
        </w:rPr>
        <w:t>，延安大学混合式教学工作坊负责人，延安大学教学技能促进师，课程思政培训师，专业认证培训师。延安大学教育科学学院教学院长、副教授（教学型），现代教育技术、教育管理专业硕士导师。主持省级精品在线开放课程、省级教师教育类慕课、省级创新创业类慕课各一门，主编教材两部，获得省级教学成果一等奖、二等奖各一项。</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陆芳</w:t>
      </w:r>
      <w:r>
        <w:rPr>
          <w:rFonts w:hint="eastAsia" w:ascii="仿宋" w:hAnsi="仿宋" w:eastAsia="仿宋" w:cs="仿宋"/>
          <w:color w:val="000000"/>
          <w:sz w:val="32"/>
          <w:szCs w:val="32"/>
        </w:rPr>
        <w:t xml:space="preserve">，教授级高实（正高），教务处教育技术中心实验团队负责人，广东省本科高校在线开放课程指导委员会委员，广东省高等教育学会教育技术专业委员会第七届理事会副秘书长。近五年来，主持省部级项目6项、校级项目12项；发表论文17篇；主编《现代远程教育学习概论》《多媒体技术及应用》《数字化学习》教材3本；获软件著作权证书4项；主讲校内教师培训70多期，参加老师4千多人次；主讲20多期国培、省培信息化教学培训；本科教学评教分数多次位列全校通识课前10%；被评为教育部在线教育研究中心2018年智慧教学之星；获省部级信息化教学奖项11项；获校级教学奖励5项。 </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黄立新</w:t>
      </w:r>
      <w:r>
        <w:rPr>
          <w:rFonts w:hint="eastAsia" w:ascii="仿宋" w:hAnsi="仿宋" w:eastAsia="仿宋" w:cs="仿宋"/>
          <w:color w:val="000000"/>
          <w:sz w:val="32"/>
          <w:szCs w:val="32"/>
        </w:rPr>
        <w:t>，教授、博士生导师，浙江省本科高校信息化教指委委员，浙江师范大学智慧教育研究院副院长，ADE（苹果杰出教育工作者），APLS（Apple师资专业发展专家）。国家精品在线开放课程《信息技术教学应用》、国家线上线下混合式一流课程《现代教育技术》负责人，现代教育技术课程群国家教学团队负责人，中国教育技术协会影视传媒专业委员会常务理事。专注于智慧教育、数字化学习资源与环境、信息化教学设计等领域的研究。</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郭建鹏</w:t>
      </w:r>
      <w:r>
        <w:rPr>
          <w:rFonts w:hint="eastAsia" w:ascii="仿宋" w:hAnsi="仿宋" w:eastAsia="仿宋" w:cs="仿宋"/>
          <w:color w:val="000000"/>
          <w:sz w:val="32"/>
          <w:szCs w:val="32"/>
        </w:rPr>
        <w:t>，厦门大学教育研究院教授、博士生导师。教育部人文社科重点研究基地厦门大学高等教育发展研究中心副主任，教育心理研究所所长，大学教学研究中心主任，厦门大学国家级教师发展中心兼职专家。“福建省杰出青年科研人才培育计划”人选。在国内外权威学术刊物发表论文40多篇，著有《翻转课堂与高校教学创新》等多部著作，担任SSCI刊物《Frontiers in Psychology》客座编辑（Guest Editor）以及10多个SSCI刊物国际审稿人；主持多个国家级、部省级课题，获得福建省教学成果奖一等奖、社会科学优秀成果奖在内的多个奖项。</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徐林</w:t>
      </w:r>
      <w:r>
        <w:rPr>
          <w:rFonts w:hint="eastAsia" w:ascii="仿宋" w:hAnsi="仿宋" w:eastAsia="仿宋" w:cs="仿宋"/>
          <w:color w:val="000000"/>
          <w:sz w:val="32"/>
          <w:szCs w:val="32"/>
        </w:rPr>
        <w:t>，工学博士，教授，辽宁省教学名师、全国万名优秀创新创业导师。现任东北大学教务处副处长、教师教学发展中心副主任、智能系统研究所所长。兼任教育部高等学校自动化类专业教学指导委员会协作委员、中国工程教育专业认证专家（电子信息与电气工程类）、中国高等教育学会工程教育专业委员会理事、辽宁省普通高等学校自动化类专业教学指导委员会委员兼秘书长。辽宁省省赛指导委员。</w:t>
      </w:r>
    </w:p>
    <w:p>
      <w:pPr>
        <w:pStyle w:val="8"/>
        <w:keepNext w:val="0"/>
        <w:keepLines w:val="0"/>
        <w:widowControl/>
        <w:suppressLineNumbers w:val="0"/>
        <w:spacing w:before="48" w:beforeAutospacing="0" w:after="48" w:afterAutospacing="0" w:line="240" w:lineRule="auto"/>
        <w:ind w:left="0" w:right="0" w:firstLine="640" w:firstLineChars="200"/>
        <w:jc w:val="left"/>
        <w:rPr>
          <w:rFonts w:hint="eastAsia" w:ascii="仿宋" w:hAnsi="仿宋" w:eastAsia="仿宋" w:cs="仿宋"/>
          <w:color w:val="000000"/>
          <w:sz w:val="32"/>
          <w:szCs w:val="32"/>
        </w:rPr>
      </w:pPr>
    </w:p>
    <w:p>
      <w:pPr>
        <w:pStyle w:val="8"/>
        <w:keepNext w:val="0"/>
        <w:keepLines w:val="0"/>
        <w:widowControl/>
        <w:suppressLineNumbers w:val="0"/>
        <w:spacing w:before="48" w:beforeAutospacing="0" w:after="48" w:afterAutospacing="0" w:line="240" w:lineRule="auto"/>
        <w:ind w:left="0" w:right="0" w:firstLine="643" w:firstLineChars="200"/>
        <w:jc w:val="left"/>
        <w:rPr>
          <w:rFonts w:hint="eastAsia" w:ascii="仿宋" w:hAnsi="仿宋" w:eastAsia="仿宋" w:cs="仿宋"/>
          <w:color w:val="000000"/>
          <w:sz w:val="32"/>
          <w:szCs w:val="32"/>
        </w:rPr>
      </w:pPr>
      <w:r>
        <w:rPr>
          <w:rFonts w:hint="eastAsia" w:ascii="仿宋" w:hAnsi="仿宋" w:eastAsia="仿宋" w:cs="仿宋"/>
          <w:b/>
          <w:bCs/>
          <w:color w:val="000000"/>
          <w:sz w:val="32"/>
          <w:szCs w:val="32"/>
        </w:rPr>
        <w:t>田洪鋆</w:t>
      </w:r>
      <w:r>
        <w:rPr>
          <w:rFonts w:hint="eastAsia" w:ascii="仿宋" w:hAnsi="仿宋" w:eastAsia="仿宋" w:cs="仿宋"/>
          <w:color w:val="000000"/>
          <w:sz w:val="32"/>
          <w:szCs w:val="32"/>
        </w:rPr>
        <w:t>，吉林大学教师教学发展中心副主任，吉林大学课程思政教学研究中心副主任，吉林大学法学院教授，博士生导师，吉林省高校教师发展指导委员会委员，中国国际私法学会常务理事，中国法学教育学会专家理事，国家社科基金项目函评专家。发表论文50余篇，著有《批判性思维与写作》《批判性思维视域下课程思政的教与学》《国家社科基金申报指导手册》等著作多部，主持国家、省级项目10余项。运营写作与学术指导类公众号：女教授跟生活的死磕。</w:t>
      </w:r>
    </w:p>
    <w:p>
      <w:pPr>
        <w:keepNext w:val="0"/>
        <w:keepLines w:val="0"/>
        <w:pageBreakBefore w:val="0"/>
        <w:widowControl/>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000000"/>
          <w:sz w:val="32"/>
          <w:szCs w:val="32"/>
          <w:lang w:val="en-US" w:eastAsia="zh-CN"/>
        </w:rPr>
      </w:pPr>
    </w:p>
    <w:sectPr>
      <w:headerReference r:id="rId3" w:type="default"/>
      <w:pgSz w:w="11906" w:h="16838"/>
      <w:pgMar w:top="198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微软雅黑" w:hAnsi="微软雅黑" w:eastAsia="微软雅黑" w:cs="微软雅黑"/>
      </w:rPr>
    </w:pPr>
    <w:r>
      <w:rPr>
        <w:rFonts w:hint="eastAsia" w:ascii="微软雅黑" w:hAnsi="微软雅黑" w:eastAsia="微软雅黑" w:cs="微软雅黑"/>
        <w:b/>
        <w:sz w:val="40"/>
      </w:rPr>
      <mc:AlternateContent>
        <mc:Choice Requires="wps">
          <w:drawing>
            <wp:anchor distT="45720" distB="45720" distL="114300" distR="114300" simplePos="0" relativeHeight="251659264" behindDoc="0" locked="0" layoutInCell="1" allowOverlap="1">
              <wp:simplePos x="0" y="0"/>
              <wp:positionH relativeFrom="page">
                <wp:align>right</wp:align>
              </wp:positionH>
              <wp:positionV relativeFrom="paragraph">
                <wp:posOffset>-521335</wp:posOffset>
              </wp:positionV>
              <wp:extent cx="1104900" cy="85725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04900" cy="857250"/>
                      </a:xfrm>
                      <a:prstGeom prst="rect">
                        <a:avLst/>
                      </a:prstGeom>
                      <a:noFill/>
                      <a:ln w="9525">
                        <a:noFill/>
                        <a:miter lim="800000"/>
                      </a:ln>
                      <a:effectLst/>
                    </wps:spPr>
                    <wps:txbx>
                      <w:txbxContent>
                        <w:p>
                          <w:r>
                            <w:drawing>
                              <wp:inline distT="0" distB="0" distL="0" distR="0">
                                <wp:extent cx="756920" cy="7569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41.05pt;height:67.5pt;width:87pt;mso-position-horizontal:right;mso-position-horizontal-relative:page;mso-wrap-distance-bottom:3.6pt;mso-wrap-distance-left:9pt;mso-wrap-distance-right:9pt;mso-wrap-distance-top:3.6pt;z-index:251659264;mso-width-relative:page;mso-height-relative:page;" filled="f" stroked="f" coordsize="21600,21600" o:gfxdata="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6wcBbVAAAABwEAAA8AAAAAAAAAAQAgAAAAIgAAAGRycy9kb3ducmV2LnhtbFBLAQIUABQAAAAI&#10;AIdO4kBGem0MKQIAADkEAAAOAAAAAAAAAAEAIAAAACQBAABkcnMvZTJvRG9jLnhtbFBLBQYAAAAA&#10;BgAGAFkBAAC/BQAAAAA=&#10;">
              <v:fill on="f" focussize="0,0"/>
              <v:stroke on="f" miterlimit="8" joinstyle="miter"/>
              <v:imagedata o:title=""/>
              <o:lock v:ext="edit" aspectratio="f"/>
              <v:textbox>
                <w:txbxContent>
                  <w:p>
                    <w:r>
                      <w:drawing>
                        <wp:inline distT="0" distB="0" distL="0" distR="0">
                          <wp:extent cx="756920" cy="756920"/>
                          <wp:effectExtent l="0" t="0" r="508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920" cy="756920"/>
                                  </a:xfrm>
                                  <a:prstGeom prst="rect">
                                    <a:avLst/>
                                  </a:prstGeom>
                                </pic:spPr>
                              </pic:pic>
                            </a:graphicData>
                          </a:graphic>
                        </wp:inline>
                      </w:drawing>
                    </w:r>
                  </w:p>
                </w:txbxContent>
              </v:textbox>
              <w10:wrap type="square"/>
            </v:shape>
          </w:pict>
        </mc:Fallback>
      </mc:AlternateContent>
    </w:r>
    <w:r>
      <w:rPr>
        <w:rFonts w:hint="eastAsia" w:ascii="微软雅黑" w:hAnsi="微软雅黑" w:eastAsia="微软雅黑" w:cs="微软雅黑"/>
        <w:sz w:val="24"/>
      </w:rPr>
      <w:t>超星——专注于教学价值提升 助力教师发展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mMxYjNhMzlhN2U4OTM4NmU3ODc1Y2MyMDBmZTcifQ=="/>
  </w:docVars>
  <w:rsids>
    <w:rsidRoot w:val="00083A2A"/>
    <w:rsid w:val="00044807"/>
    <w:rsid w:val="00083A2A"/>
    <w:rsid w:val="001368C2"/>
    <w:rsid w:val="001A2EA3"/>
    <w:rsid w:val="001F34F4"/>
    <w:rsid w:val="00272644"/>
    <w:rsid w:val="00275029"/>
    <w:rsid w:val="00377CCA"/>
    <w:rsid w:val="004245F1"/>
    <w:rsid w:val="004418FC"/>
    <w:rsid w:val="00451E62"/>
    <w:rsid w:val="004F6963"/>
    <w:rsid w:val="00503999"/>
    <w:rsid w:val="00532ADC"/>
    <w:rsid w:val="00562807"/>
    <w:rsid w:val="006602B8"/>
    <w:rsid w:val="006B67B4"/>
    <w:rsid w:val="0073403C"/>
    <w:rsid w:val="0075237F"/>
    <w:rsid w:val="0075638C"/>
    <w:rsid w:val="007A6B21"/>
    <w:rsid w:val="007E2618"/>
    <w:rsid w:val="007E42EC"/>
    <w:rsid w:val="007F5673"/>
    <w:rsid w:val="008161DD"/>
    <w:rsid w:val="00842E85"/>
    <w:rsid w:val="008476CE"/>
    <w:rsid w:val="00897D5D"/>
    <w:rsid w:val="008C373F"/>
    <w:rsid w:val="00914E1F"/>
    <w:rsid w:val="0095370E"/>
    <w:rsid w:val="00984EC9"/>
    <w:rsid w:val="009C5685"/>
    <w:rsid w:val="00A678C8"/>
    <w:rsid w:val="00A919AE"/>
    <w:rsid w:val="00AC67F3"/>
    <w:rsid w:val="00AC6AF6"/>
    <w:rsid w:val="00B26DE0"/>
    <w:rsid w:val="00B35F46"/>
    <w:rsid w:val="00B52F4D"/>
    <w:rsid w:val="00B72D39"/>
    <w:rsid w:val="00BC33C6"/>
    <w:rsid w:val="00BE08B6"/>
    <w:rsid w:val="00BF78B0"/>
    <w:rsid w:val="00DC5D41"/>
    <w:rsid w:val="00DE040B"/>
    <w:rsid w:val="00DE41F5"/>
    <w:rsid w:val="00E40336"/>
    <w:rsid w:val="00E45E83"/>
    <w:rsid w:val="00E70D72"/>
    <w:rsid w:val="00F471BB"/>
    <w:rsid w:val="00F645E6"/>
    <w:rsid w:val="00FF096E"/>
    <w:rsid w:val="00FF5601"/>
    <w:rsid w:val="06737E4A"/>
    <w:rsid w:val="0D125093"/>
    <w:rsid w:val="137D2F5A"/>
    <w:rsid w:val="17650B8A"/>
    <w:rsid w:val="1AA50C28"/>
    <w:rsid w:val="2A2456EB"/>
    <w:rsid w:val="2C2C6DF9"/>
    <w:rsid w:val="35270760"/>
    <w:rsid w:val="35FEA0A2"/>
    <w:rsid w:val="37B315B1"/>
    <w:rsid w:val="3C1F6017"/>
    <w:rsid w:val="3D6A66D7"/>
    <w:rsid w:val="42114C71"/>
    <w:rsid w:val="43CF1F64"/>
    <w:rsid w:val="459FA806"/>
    <w:rsid w:val="47FB7334"/>
    <w:rsid w:val="517E409A"/>
    <w:rsid w:val="5BEE5DA4"/>
    <w:rsid w:val="62051DE0"/>
    <w:rsid w:val="63625E83"/>
    <w:rsid w:val="63C97101"/>
    <w:rsid w:val="660653CE"/>
    <w:rsid w:val="6CA73FCB"/>
    <w:rsid w:val="7110232B"/>
    <w:rsid w:val="782F13D2"/>
    <w:rsid w:val="B66B6260"/>
    <w:rsid w:val="DCFD47F7"/>
    <w:rsid w:val="EFE5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keepNext/>
      <w:keepLines/>
      <w:spacing w:line="360" w:lineRule="auto"/>
      <w:outlineLvl w:val="3"/>
    </w:pPr>
    <w:rPr>
      <w:rFonts w:ascii="Arial" w:hAnsi="Arial" w:eastAsia="微软雅黑"/>
      <w:b/>
      <w:bCs/>
      <w:sz w:val="24"/>
      <w:szCs w:val="28"/>
    </w:rPr>
  </w:style>
  <w:style w:type="paragraph" w:styleId="3">
    <w:name w:val="heading 5"/>
    <w:basedOn w:val="1"/>
    <w:next w:val="1"/>
    <w:link w:val="21"/>
    <w:qFormat/>
    <w:uiPriority w:val="99"/>
    <w:pPr>
      <w:keepNext/>
      <w:keepLines/>
      <w:spacing w:before="280" w:after="290" w:line="376" w:lineRule="auto"/>
      <w:outlineLvl w:val="4"/>
    </w:pPr>
    <w:rPr>
      <w:rFonts w:ascii="Calibri" w:hAnsi="Calibri" w:eastAsia="宋体" w:cs="Times New Roman"/>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Balloon Text"/>
    <w:basedOn w:val="1"/>
    <w:link w:val="20"/>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19"/>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unhideWhenUsed/>
    <w:qFormat/>
    <w:uiPriority w:val="99"/>
    <w:rPr>
      <w:sz w:val="21"/>
      <w:szCs w:val="21"/>
    </w:rPr>
  </w:style>
  <w:style w:type="paragraph" w:customStyle="1" w:styleId="15">
    <w:name w:val="List Paragraph"/>
    <w:basedOn w:val="1"/>
    <w:qFormat/>
    <w:uiPriority w:val="34"/>
    <w:pPr>
      <w:ind w:firstLine="420" w:firstLineChars="200"/>
    </w:p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文字 Char"/>
    <w:basedOn w:val="12"/>
    <w:link w:val="4"/>
    <w:semiHidden/>
    <w:qFormat/>
    <w:uiPriority w:val="99"/>
  </w:style>
  <w:style w:type="character" w:customStyle="1" w:styleId="19">
    <w:name w:val="批注主题 Char"/>
    <w:basedOn w:val="18"/>
    <w:link w:val="9"/>
    <w:semiHidden/>
    <w:qFormat/>
    <w:uiPriority w:val="99"/>
    <w:rPr>
      <w:b/>
      <w:bCs/>
    </w:rPr>
  </w:style>
  <w:style w:type="character" w:customStyle="1" w:styleId="20">
    <w:name w:val="批注框文本 Char"/>
    <w:basedOn w:val="12"/>
    <w:link w:val="5"/>
    <w:semiHidden/>
    <w:qFormat/>
    <w:uiPriority w:val="99"/>
    <w:rPr>
      <w:sz w:val="18"/>
      <w:szCs w:val="18"/>
    </w:rPr>
  </w:style>
  <w:style w:type="character" w:customStyle="1" w:styleId="21">
    <w:name w:val="标题 5 Char"/>
    <w:basedOn w:val="12"/>
    <w:link w:val="3"/>
    <w:qFormat/>
    <w:uiPriority w:val="99"/>
    <w:rPr>
      <w:rFonts w:ascii="Calibri" w:hAnsi="Calibri" w:eastAsia="宋体" w:cs="Times New Roman"/>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3274</Words>
  <Characters>3452</Characters>
  <Lines>13</Lines>
  <Paragraphs>3</Paragraphs>
  <TotalTime>15</TotalTime>
  <ScaleCrop>false</ScaleCrop>
  <LinksUpToDate>false</LinksUpToDate>
  <CharactersWithSpaces>3473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2018-03-12T17:42:00Z</dcterms:created>
  <dc:creator>hao qiangqiang</dc:creator>
  <cp:lastModifiedBy>11:11</cp:lastModifiedBy>
  <dcterms:modified xsi:type="dcterms:W3CDTF">2022-09-20T03:26:13Z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4EB2E21603B94D88A46006D147579724</vt:lpwstr>
  </property>
</Properties>
</file>